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0739C4" w:rsidP="00D944E9">
      <w:pPr>
        <w:rPr>
          <w:rFonts w:ascii="Arial" w:hAnsi="Arial" w:cs="Arial"/>
          <w:b/>
          <w:bCs/>
          <w:sz w:val="24"/>
          <w:szCs w:val="24"/>
        </w:rPr>
      </w:pPr>
      <w:r>
        <w:rPr>
          <w:rFonts w:ascii="Arial" w:hAnsi="Arial" w:cs="Arial"/>
          <w:b/>
          <w:bCs/>
          <w:sz w:val="24"/>
          <w:szCs w:val="24"/>
        </w:rPr>
        <w:t xml:space="preserve">1.4 </w:t>
      </w:r>
      <w:r w:rsidR="008A2232">
        <w:rPr>
          <w:rFonts w:ascii="Arial" w:hAnsi="Arial" w:cs="Arial"/>
          <w:b/>
          <w:bCs/>
          <w:sz w:val="24"/>
          <w:szCs w:val="24"/>
        </w:rPr>
        <w:t xml:space="preserve">AL-CLAD KAPLAMALI </w:t>
      </w:r>
      <w:r w:rsidR="00864893">
        <w:rPr>
          <w:rFonts w:ascii="Arial" w:hAnsi="Arial" w:cs="Arial"/>
          <w:b/>
          <w:bCs/>
          <w:sz w:val="24"/>
          <w:szCs w:val="24"/>
        </w:rPr>
        <w:t xml:space="preserve">ELASTOMERİK KAUÇUK KÖPÜĞÜ İLE </w:t>
      </w:r>
      <w:r w:rsidR="00445A3E">
        <w:rPr>
          <w:rFonts w:ascii="Arial" w:hAnsi="Arial" w:cs="Arial"/>
          <w:b/>
          <w:bCs/>
          <w:sz w:val="24"/>
          <w:szCs w:val="24"/>
        </w:rPr>
        <w:t xml:space="preserve">KLİMA </w:t>
      </w:r>
      <w:r w:rsidR="00144474">
        <w:rPr>
          <w:rFonts w:ascii="Arial" w:hAnsi="Arial" w:cs="Arial"/>
          <w:b/>
          <w:bCs/>
          <w:sz w:val="24"/>
          <w:szCs w:val="24"/>
        </w:rPr>
        <w:t xml:space="preserve">KANAL </w:t>
      </w:r>
      <w:r w:rsidR="006B78ED">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0769E7">
        <w:rPr>
          <w:rFonts w:ascii="Arial" w:hAnsi="Arial" w:cs="Arial"/>
          <w:b/>
          <w:bCs/>
          <w:sz w:val="24"/>
          <w:szCs w:val="24"/>
        </w:rPr>
        <w:t>DIŞI</w:t>
      </w:r>
      <w:r>
        <w:rPr>
          <w:rFonts w:ascii="Arial" w:hAnsi="Arial" w:cs="Arial"/>
          <w:b/>
          <w:bCs/>
          <w:sz w:val="24"/>
          <w:szCs w:val="24"/>
        </w:rPr>
        <w:t>:</w:t>
      </w:r>
      <w:r w:rsidR="00607D6E">
        <w:rPr>
          <w:rFonts w:ascii="Arial" w:hAnsi="Arial" w:cs="Arial"/>
          <w:b/>
          <w:bCs/>
          <w:sz w:val="24"/>
          <w:szCs w:val="24"/>
        </w:rPr>
        <w:t xml:space="preserve"> TİP 7000/AL-CLAD</w:t>
      </w:r>
      <w:r w:rsidR="008777A9">
        <w:rPr>
          <w:rFonts w:ascii="Arial" w:hAnsi="Arial" w:cs="Arial"/>
          <w:b/>
          <w:bCs/>
          <w:sz w:val="24"/>
          <w:szCs w:val="24"/>
        </w:rPr>
        <w:t>-RK1/BD</w:t>
      </w:r>
    </w:p>
    <w:p w:rsidR="002E41A5" w:rsidRDefault="002E41A5" w:rsidP="00D944E9">
      <w:pPr>
        <w:rPr>
          <w:rFonts w:ascii="Arial" w:hAnsi="Arial" w:cs="Arial"/>
          <w:b/>
          <w:bCs/>
          <w:sz w:val="24"/>
          <w:szCs w:val="24"/>
        </w:rPr>
      </w:pPr>
    </w:p>
    <w:p w:rsidR="006B78ED" w:rsidRDefault="006B78ED"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0769E7" w:rsidRDefault="000769E7" w:rsidP="0075288B">
      <w:pPr>
        <w:rPr>
          <w:rFonts w:ascii="Arial" w:hAnsi="Arial" w:cs="Arial"/>
          <w:b/>
          <w:bCs/>
          <w:sz w:val="22"/>
          <w:szCs w:val="22"/>
          <w:u w:val="single"/>
        </w:rPr>
      </w:pPr>
    </w:p>
    <w:p w:rsidR="005D48A2" w:rsidRPr="005D48A2" w:rsidRDefault="000769E7" w:rsidP="0075288B">
      <w:pPr>
        <w:rPr>
          <w:rFonts w:ascii="Arial" w:hAnsi="Arial" w:cs="Arial"/>
          <w:sz w:val="22"/>
          <w:szCs w:val="22"/>
        </w:rPr>
      </w:pPr>
      <w:r w:rsidRPr="000769E7">
        <w:rPr>
          <w:rFonts w:ascii="Arial" w:hAnsi="Arial" w:cs="Arial"/>
          <w:sz w:val="22"/>
          <w:szCs w:val="22"/>
        </w:rPr>
        <w:t>Dış ortamdaki tüm</w:t>
      </w:r>
      <w:r w:rsidR="00144474">
        <w:rPr>
          <w:rFonts w:ascii="Arial" w:hAnsi="Arial" w:cs="Arial"/>
          <w:sz w:val="22"/>
          <w:szCs w:val="22"/>
        </w:rPr>
        <w:t xml:space="preserve"> kanallar</w:t>
      </w:r>
      <w:r w:rsidR="005D48A2" w:rsidRPr="005D48A2">
        <w:rPr>
          <w:rFonts w:ascii="Arial" w:hAnsi="Arial" w:cs="Arial"/>
          <w:sz w:val="22"/>
          <w:szCs w:val="22"/>
        </w:rPr>
        <w:t xml:space="preserve"> </w:t>
      </w:r>
      <w:r w:rsidR="006B78ED">
        <w:rPr>
          <w:rFonts w:ascii="Arial" w:hAnsi="Arial" w:cs="Arial"/>
          <w:sz w:val="22"/>
          <w:szCs w:val="22"/>
        </w:rPr>
        <w:t xml:space="preserve">ısı yalıtımı </w:t>
      </w:r>
      <w:r w:rsidR="0021521F">
        <w:rPr>
          <w:rFonts w:ascii="Arial" w:hAnsi="Arial" w:cs="Arial"/>
          <w:sz w:val="22"/>
          <w:szCs w:val="22"/>
        </w:rPr>
        <w:t xml:space="preserve">yapılması </w:t>
      </w:r>
      <w:r w:rsidR="006B78ED">
        <w:rPr>
          <w:rFonts w:ascii="Arial" w:hAnsi="Arial" w:cs="Arial"/>
          <w:sz w:val="22"/>
          <w:szCs w:val="22"/>
        </w:rPr>
        <w:t xml:space="preserve">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sidR="0021521F">
        <w:rPr>
          <w:rFonts w:ascii="Arial" w:hAnsi="Arial" w:cs="Arial"/>
          <w:sz w:val="22"/>
          <w:szCs w:val="22"/>
        </w:rPr>
        <w:t xml:space="preserve"> korunması </w:t>
      </w:r>
      <w:proofErr w:type="gramStart"/>
      <w:r w:rsidR="0021521F">
        <w:rPr>
          <w:rFonts w:ascii="Arial" w:hAnsi="Arial" w:cs="Arial"/>
          <w:sz w:val="22"/>
          <w:szCs w:val="22"/>
        </w:rPr>
        <w:t xml:space="preserve">için </w:t>
      </w:r>
      <w:r w:rsidR="005D48A2" w:rsidRPr="005D48A2">
        <w:rPr>
          <w:rFonts w:ascii="Arial" w:hAnsi="Arial" w:cs="Arial"/>
          <w:sz w:val="22"/>
          <w:szCs w:val="22"/>
        </w:rPr>
        <w:t xml:space="preserve"> </w:t>
      </w:r>
      <w:r w:rsidR="006C6CA9" w:rsidRPr="0075288B">
        <w:rPr>
          <w:rFonts w:ascii="Arial" w:hAnsi="Arial" w:cs="Arial"/>
          <w:i/>
          <w:iCs/>
          <w:sz w:val="22"/>
          <w:szCs w:val="22"/>
        </w:rPr>
        <w:t>EN</w:t>
      </w:r>
      <w:proofErr w:type="gramEnd"/>
      <w:r w:rsidR="006C6CA9" w:rsidRPr="0075288B">
        <w:rPr>
          <w:rFonts w:ascii="Arial" w:hAnsi="Arial" w:cs="Arial"/>
          <w:i/>
          <w:iCs/>
          <w:sz w:val="22"/>
          <w:szCs w:val="22"/>
        </w:rPr>
        <w:t xml:space="preserve">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r w:rsidR="008A2232" w:rsidRPr="00BF3F55">
        <w:rPr>
          <w:rFonts w:ascii="Arial" w:hAnsi="Arial" w:cs="Arial"/>
          <w:i/>
          <w:iCs/>
          <w:sz w:val="22"/>
          <w:szCs w:val="22"/>
        </w:rPr>
        <w:t>UV dayanımlı, 250 mikron kalınlığında alüminyum folyo kaplamalı</w:t>
      </w:r>
      <w:r w:rsidR="008A2232" w:rsidRPr="00DB2ED0">
        <w:rPr>
          <w:rFonts w:ascii="Arial" w:hAnsi="Arial" w:cs="Arial"/>
          <w:b/>
          <w:bCs/>
          <w:i/>
          <w:iCs/>
          <w:sz w:val="22"/>
          <w:szCs w:val="22"/>
        </w:rPr>
        <w:t xml:space="preserve">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6461DB">
        <w:rPr>
          <w:rFonts w:ascii="Arial" w:hAnsi="Arial" w:cs="Arial"/>
          <w:b/>
          <w:bCs/>
          <w:sz w:val="22"/>
          <w:szCs w:val="22"/>
        </w:rPr>
        <w:t>PRM</w:t>
      </w:r>
      <w:r w:rsidR="0075288B">
        <w:rPr>
          <w:rFonts w:ascii="Arial" w:hAnsi="Arial" w:cs="Arial"/>
          <w:b/>
          <w:bCs/>
          <w:sz w:val="22"/>
          <w:szCs w:val="22"/>
        </w:rPr>
        <w:t xml:space="preserve"> </w:t>
      </w:r>
      <w:r w:rsidR="008A2232">
        <w:rPr>
          <w:rFonts w:ascii="Arial" w:hAnsi="Arial" w:cs="Arial"/>
          <w:b/>
          <w:bCs/>
          <w:sz w:val="22"/>
          <w:szCs w:val="22"/>
        </w:rPr>
        <w:t xml:space="preserve">AL-CLAD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2E696A">
        <w:rPr>
          <w:rFonts w:ascii="Arial" w:hAnsi="Arial" w:cs="Arial"/>
          <w:sz w:val="22"/>
          <w:szCs w:val="22"/>
        </w:rPr>
        <w:t>0°C’de 0,034 W/(</w:t>
      </w:r>
      <w:proofErr w:type="spellStart"/>
      <w:r w:rsidR="002E696A">
        <w:rPr>
          <w:rFonts w:ascii="Arial" w:hAnsi="Arial" w:cs="Arial"/>
          <w:sz w:val="22"/>
          <w:szCs w:val="22"/>
        </w:rPr>
        <w:t>m.K</w:t>
      </w:r>
      <w:proofErr w:type="spellEnd"/>
      <w:r w:rsidR="002E696A">
        <w:rPr>
          <w:rFonts w:ascii="Arial" w:hAnsi="Arial" w:cs="Arial"/>
          <w:sz w:val="22"/>
          <w:szCs w:val="22"/>
        </w:rPr>
        <w:t>), 20°C’de 0,036 W/(</w:t>
      </w:r>
      <w:proofErr w:type="spellStart"/>
      <w:r w:rsidR="002E696A">
        <w:rPr>
          <w:rFonts w:ascii="Arial" w:hAnsi="Arial" w:cs="Arial"/>
          <w:sz w:val="22"/>
          <w:szCs w:val="22"/>
        </w:rPr>
        <w:t>m.K</w:t>
      </w:r>
      <w:proofErr w:type="spellEnd"/>
      <w:r w:rsidR="002E696A">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6461DB">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F63D7">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kanalın yüzey sıcaklığının çiy noktası sıcaklığının altına düşmemesini sağlayan yalıtım kalınlığı göz önünde bulundurulmalıdır</w:t>
      </w:r>
      <w:bookmarkEnd w:id="0"/>
      <w:r w:rsidR="006B78ED" w:rsidRPr="006B78ED">
        <w:rPr>
          <w:rFonts w:ascii="Arial" w:hAnsi="Arial" w:cs="Arial"/>
          <w:sz w:val="22"/>
          <w:szCs w:val="22"/>
        </w:rPr>
        <w:t xml:space="preserve"> </w:t>
      </w:r>
      <w:r w:rsidR="006B78ED">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144474" w:rsidRDefault="00144474" w:rsidP="00864893">
      <w:pPr>
        <w:rPr>
          <w:rFonts w:ascii="Arial" w:hAnsi="Arial" w:cs="Arial"/>
          <w:b/>
          <w:bCs/>
          <w:sz w:val="22"/>
          <w:szCs w:val="22"/>
          <w:u w:val="single"/>
        </w:rPr>
      </w:pPr>
    </w:p>
    <w:p w:rsidR="006B78ED" w:rsidRPr="006B78ED" w:rsidRDefault="006B78ED" w:rsidP="006B78ED">
      <w:pPr>
        <w:pStyle w:val="ListeParagraf"/>
        <w:numPr>
          <w:ilvl w:val="0"/>
          <w:numId w:val="12"/>
        </w:numPr>
        <w:ind w:right="-419"/>
        <w:jc w:val="both"/>
        <w:rPr>
          <w:rFonts w:ascii="Arial" w:hAnsi="Arial" w:cs="Arial"/>
          <w:b/>
          <w:bCs/>
          <w:sz w:val="22"/>
          <w:szCs w:val="22"/>
          <w:u w:val="single"/>
        </w:rPr>
      </w:pPr>
      <w:r w:rsidRPr="006B78ED">
        <w:rPr>
          <w:rFonts w:ascii="Arial" w:hAnsi="Arial" w:cs="Arial"/>
          <w:b/>
          <w:bCs/>
          <w:sz w:val="22"/>
          <w:szCs w:val="22"/>
          <w:u w:val="single"/>
        </w:rPr>
        <w:t xml:space="preserve">Uygulama Öncesi Hazırlık </w:t>
      </w:r>
    </w:p>
    <w:p w:rsidR="006B78ED" w:rsidRPr="00864893" w:rsidRDefault="006B78ED" w:rsidP="006B78ED">
      <w:pPr>
        <w:ind w:right="-419"/>
        <w:jc w:val="both"/>
        <w:rPr>
          <w:rFonts w:ascii="Arial" w:hAnsi="Arial" w:cs="Arial"/>
          <w:b/>
          <w:bCs/>
          <w:sz w:val="22"/>
          <w:szCs w:val="22"/>
        </w:rPr>
      </w:pPr>
    </w:p>
    <w:p w:rsidR="006B78ED" w:rsidRDefault="006B78ED" w:rsidP="006B78ED">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6B78ED" w:rsidRDefault="006B78ED" w:rsidP="006B78ED">
      <w:pPr>
        <w:rPr>
          <w:rFonts w:ascii="Arial" w:hAnsi="Arial" w:cs="Arial"/>
          <w:sz w:val="22"/>
          <w:szCs w:val="22"/>
        </w:rPr>
      </w:pPr>
    </w:p>
    <w:p w:rsidR="006B78ED" w:rsidRDefault="006B78ED" w:rsidP="006B78ED">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6B78ED" w:rsidRPr="006B78ED" w:rsidRDefault="006B78ED" w:rsidP="006B78ED">
      <w:pPr>
        <w:pStyle w:val="ListeParagraf"/>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6461DB">
        <w:rPr>
          <w:rFonts w:ascii="Arial" w:hAnsi="Arial" w:cs="Arial"/>
          <w:b/>
          <w:bCs/>
          <w:sz w:val="22"/>
          <w:szCs w:val="22"/>
        </w:rPr>
        <w:t>PRM</w:t>
      </w:r>
      <w:r w:rsidRPr="00FF6C53">
        <w:rPr>
          <w:rFonts w:ascii="Arial" w:hAnsi="Arial" w:cs="Arial"/>
          <w:b/>
          <w:bCs/>
          <w:sz w:val="22"/>
          <w:szCs w:val="22"/>
        </w:rPr>
        <w:t xml:space="preserve"> </w:t>
      </w:r>
      <w:r w:rsidR="008A2232">
        <w:rPr>
          <w:rFonts w:ascii="Arial" w:hAnsi="Arial" w:cs="Arial"/>
          <w:b/>
          <w:bCs/>
          <w:sz w:val="22"/>
          <w:szCs w:val="22"/>
        </w:rPr>
        <w:t xml:space="preserve">AL-CLAD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 xml:space="preserve">2- R-FLEX </w:t>
      </w:r>
      <w:r w:rsidR="006461DB">
        <w:rPr>
          <w:rFonts w:ascii="Arial" w:hAnsi="Arial" w:cs="Arial"/>
          <w:b/>
          <w:bCs/>
          <w:sz w:val="22"/>
          <w:szCs w:val="22"/>
        </w:rPr>
        <w:t>PRM</w:t>
      </w:r>
      <w:r w:rsidR="006461DB" w:rsidRPr="00FF6C53">
        <w:rPr>
          <w:rFonts w:ascii="Arial" w:hAnsi="Arial" w:cs="Arial"/>
          <w:b/>
          <w:bCs/>
          <w:sz w:val="22"/>
          <w:szCs w:val="22"/>
        </w:rPr>
        <w:t xml:space="preserve"> </w:t>
      </w:r>
      <w:r w:rsidR="008A2232">
        <w:rPr>
          <w:rFonts w:ascii="Arial" w:hAnsi="Arial" w:cs="Arial"/>
          <w:b/>
          <w:bCs/>
          <w:sz w:val="22"/>
          <w:szCs w:val="22"/>
        </w:rPr>
        <w:t xml:space="preserve">AL-CLAD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6B78ED">
        <w:rPr>
          <w:rFonts w:ascii="Arial" w:hAnsi="Arial" w:cs="Arial"/>
          <w:sz w:val="22"/>
          <w:szCs w:val="22"/>
        </w:rPr>
        <w:t xml:space="preserve">kauçuk köpüğü için özel geliştirilmiş yapıştırıcı </w:t>
      </w:r>
      <w:proofErr w:type="spellStart"/>
      <w:r w:rsidR="006B78ED" w:rsidRPr="00C226B5">
        <w:rPr>
          <w:rFonts w:ascii="Arial" w:hAnsi="Arial" w:cs="Arial"/>
          <w:b/>
          <w:bCs/>
          <w:sz w:val="22"/>
          <w:szCs w:val="22"/>
        </w:rPr>
        <w:t>Konfix</w:t>
      </w:r>
      <w:proofErr w:type="spellEnd"/>
      <w:r w:rsidR="006B78ED">
        <w:rPr>
          <w:rFonts w:ascii="Arial" w:hAnsi="Arial" w:cs="Arial"/>
          <w:sz w:val="22"/>
          <w:szCs w:val="22"/>
        </w:rPr>
        <w:t xml:space="preserve"> </w:t>
      </w:r>
      <w:r w:rsidR="006B78ED" w:rsidRPr="00C226B5">
        <w:rPr>
          <w:rFonts w:ascii="Arial" w:hAnsi="Arial" w:cs="Arial"/>
          <w:sz w:val="22"/>
          <w:szCs w:val="22"/>
        </w:rPr>
        <w:t>sürülür</w:t>
      </w:r>
      <w:r w:rsidR="006B78ED" w:rsidRPr="00F3514D">
        <w:rPr>
          <w:rFonts w:ascii="Arial" w:hAnsi="Arial" w:cs="Arial"/>
          <w:sz w:val="22"/>
          <w:szCs w:val="22"/>
        </w:rPr>
        <w:t>.</w:t>
      </w:r>
      <w:r w:rsidR="006B78ED">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proofErr w:type="spellStart"/>
      <w:r w:rsidRPr="00FF6C53">
        <w:rPr>
          <w:rFonts w:ascii="Arial" w:hAnsi="Arial" w:cs="Arial"/>
          <w:b/>
          <w:bCs/>
          <w:sz w:val="22"/>
          <w:szCs w:val="22"/>
        </w:rPr>
        <w:t>Konfix</w:t>
      </w:r>
      <w:proofErr w:type="spellEnd"/>
      <w:r>
        <w:rPr>
          <w:rFonts w:ascii="Arial" w:hAnsi="Arial" w:cs="Arial"/>
          <w:sz w:val="22"/>
          <w:szCs w:val="22"/>
        </w:rPr>
        <w:t xml:space="preserve"> </w:t>
      </w:r>
      <w:r w:rsidR="00683D60">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A445ED" w:rsidRDefault="00BB13EE" w:rsidP="00BB13EE">
      <w:pPr>
        <w:rPr>
          <w:rFonts w:ascii="Arial" w:hAnsi="Arial" w:cs="Arial"/>
          <w:sz w:val="22"/>
          <w:szCs w:val="22"/>
        </w:rPr>
      </w:pPr>
      <w:r w:rsidRPr="00BB13EE">
        <w:rPr>
          <w:rFonts w:ascii="Arial" w:hAnsi="Arial" w:cs="Arial"/>
          <w:b/>
          <w:bCs/>
          <w:sz w:val="22"/>
          <w:szCs w:val="22"/>
        </w:rPr>
        <w:t>4-</w:t>
      </w:r>
      <w:r>
        <w:rPr>
          <w:noProof/>
        </w:rPr>
        <w:t xml:space="preserve"> </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proofErr w:type="spellStart"/>
      <w:r w:rsidR="006B78ED" w:rsidRPr="00FF6C53">
        <w:rPr>
          <w:rFonts w:ascii="Arial" w:hAnsi="Arial" w:cs="Arial"/>
          <w:b/>
          <w:bCs/>
          <w:sz w:val="22"/>
          <w:szCs w:val="22"/>
        </w:rPr>
        <w:t>Konfix</w:t>
      </w:r>
      <w:proofErr w:type="spellEnd"/>
      <w:r w:rsidR="00C226B5" w:rsidRPr="005D48A2">
        <w:rPr>
          <w:rFonts w:ascii="Arial" w:hAnsi="Arial" w:cs="Arial"/>
          <w:sz w:val="22"/>
          <w:szCs w:val="22"/>
        </w:rPr>
        <w:t xml:space="preserve"> </w:t>
      </w:r>
      <w:r w:rsidR="00C226B5">
        <w:rPr>
          <w:rFonts w:ascii="Arial" w:hAnsi="Arial" w:cs="Arial"/>
          <w:sz w:val="22"/>
          <w:szCs w:val="22"/>
        </w:rPr>
        <w:t xml:space="preserve">ile tamamlandıktan sonra </w:t>
      </w:r>
      <w:r w:rsidR="000C61ED">
        <w:rPr>
          <w:rFonts w:ascii="Arial" w:hAnsi="Arial" w:cs="Arial"/>
          <w:sz w:val="22"/>
          <w:szCs w:val="22"/>
        </w:rPr>
        <w:t xml:space="preserve">ek yerleri sızdırmazlık kontrolü yapılacak, </w:t>
      </w:r>
      <w:r w:rsidR="008A2232">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380866">
        <w:rPr>
          <w:rFonts w:ascii="Arial" w:hAnsi="Arial" w:cs="Arial"/>
          <w:sz w:val="22"/>
          <w:szCs w:val="22"/>
        </w:rPr>
        <w:t>alüminyum folyolu bant ya</w:t>
      </w:r>
      <w:r w:rsidR="00C24A29">
        <w:rPr>
          <w:rFonts w:ascii="Arial" w:hAnsi="Arial" w:cs="Arial"/>
          <w:sz w:val="22"/>
          <w:szCs w:val="22"/>
        </w:rPr>
        <w:t xml:space="preserve"> </w:t>
      </w:r>
      <w:r w:rsidR="00380866">
        <w:rPr>
          <w:rFonts w:ascii="Arial" w:hAnsi="Arial" w:cs="Arial"/>
          <w:sz w:val="22"/>
          <w:szCs w:val="22"/>
        </w:rPr>
        <w:t xml:space="preserve">da </w:t>
      </w:r>
      <w:proofErr w:type="spellStart"/>
      <w:r w:rsidR="006B78ED">
        <w:rPr>
          <w:rFonts w:ascii="Arial" w:hAnsi="Arial" w:cs="Arial"/>
          <w:sz w:val="22"/>
          <w:szCs w:val="22"/>
        </w:rPr>
        <w:t>pvc</w:t>
      </w:r>
      <w:proofErr w:type="spellEnd"/>
      <w:r w:rsidR="00C226B5" w:rsidRPr="005D48A2">
        <w:rPr>
          <w:rFonts w:ascii="Arial" w:hAnsi="Arial" w:cs="Arial"/>
          <w:sz w:val="22"/>
          <w:szCs w:val="22"/>
        </w:rPr>
        <w:t xml:space="preserve"> bant ile kaplanacak</w:t>
      </w:r>
      <w:r w:rsidR="000C61ED">
        <w:rPr>
          <w:rFonts w:ascii="Arial" w:hAnsi="Arial" w:cs="Arial"/>
          <w:sz w:val="22"/>
          <w:szCs w:val="22"/>
        </w:rPr>
        <w:t>tır.</w:t>
      </w:r>
    </w:p>
    <w:p w:rsidR="000769E7" w:rsidRPr="00BB13EE" w:rsidRDefault="000769E7" w:rsidP="00BB13EE"/>
    <w:p w:rsidR="002C78DB" w:rsidRDefault="00BB13EE" w:rsidP="000C61ED">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445A3E">
      <w:pPr>
        <w:tabs>
          <w:tab w:val="left" w:pos="1260"/>
        </w:tabs>
        <w:jc w:val="both"/>
        <w:rPr>
          <w:rFonts w:ascii="Arial" w:hAnsi="Arial" w:cs="Arial"/>
          <w:b/>
          <w:bCs/>
        </w:rPr>
      </w:pPr>
      <w:r>
        <w:rPr>
          <w:rFonts w:ascii="Arial" w:hAnsi="Arial" w:cs="Arial"/>
          <w:b/>
          <w:bCs/>
        </w:rPr>
        <w:t>Saygılarımızla,</w:t>
      </w:r>
    </w:p>
    <w:p w:rsidR="00445A3E" w:rsidRDefault="00445A3E" w:rsidP="00445A3E">
      <w:pPr>
        <w:tabs>
          <w:tab w:val="left" w:pos="1260"/>
        </w:tabs>
        <w:jc w:val="both"/>
        <w:rPr>
          <w:rFonts w:ascii="Arial" w:hAnsi="Arial" w:cs="Arial"/>
          <w:b/>
          <w:bCs/>
        </w:rPr>
      </w:pPr>
      <w:r>
        <w:rPr>
          <w:rFonts w:ascii="Arial" w:hAnsi="Arial" w:cs="Arial"/>
          <w:b/>
          <w:bCs/>
        </w:rPr>
        <w:t>Teknik Pazarlama</w:t>
      </w:r>
    </w:p>
    <w:p w:rsidR="00445A3E" w:rsidRDefault="00445A3E" w:rsidP="00445A3E">
      <w:pPr>
        <w:tabs>
          <w:tab w:val="left" w:pos="1260"/>
        </w:tabs>
        <w:spacing w:after="120"/>
        <w:jc w:val="both"/>
        <w:rPr>
          <w:rFonts w:ascii="Arial" w:hAnsi="Arial" w:cs="Arial"/>
          <w:b/>
          <w:bCs/>
        </w:rPr>
      </w:pPr>
      <w:r>
        <w:rPr>
          <w:rFonts w:ascii="Arial" w:hAnsi="Arial" w:cs="Arial"/>
          <w:b/>
          <w:bCs/>
        </w:rPr>
        <w:t>ODE Yalıtım Sanayi ve Ticaret A.Ş.</w:t>
      </w:r>
    </w:p>
    <w:p w:rsidR="00445A3E" w:rsidRDefault="00445A3E" w:rsidP="00445A3E">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Default="00445A3E" w:rsidP="000C61ED">
      <w:pPr>
        <w:autoSpaceDE w:val="0"/>
        <w:autoSpaceDN w:val="0"/>
        <w:adjustRightInd w:val="0"/>
        <w:rPr>
          <w:rFonts w:ascii="Arial" w:hAnsi="Arial" w:cs="Arial"/>
          <w:sz w:val="22"/>
          <w:szCs w:val="22"/>
        </w:rPr>
      </w:pPr>
    </w:p>
    <w:p w:rsidR="00445A3E" w:rsidRPr="000C61ED" w:rsidRDefault="00445A3E" w:rsidP="000C61ED">
      <w:pPr>
        <w:autoSpaceDE w:val="0"/>
        <w:autoSpaceDN w:val="0"/>
        <w:adjustRightInd w:val="0"/>
        <w:rPr>
          <w:rFonts w:ascii="Arial" w:hAnsi="Arial" w:cs="Arial"/>
          <w:sz w:val="22"/>
          <w:szCs w:val="22"/>
        </w:rPr>
      </w:pPr>
    </w:p>
    <w:sectPr w:rsidR="00445A3E"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02010C1"/>
    <w:multiLevelType w:val="hybridMultilevel"/>
    <w:tmpl w:val="44DAEE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739C4"/>
    <w:rsid w:val="000769E7"/>
    <w:rsid w:val="000917E2"/>
    <w:rsid w:val="000A5351"/>
    <w:rsid w:val="000C61ED"/>
    <w:rsid w:val="00144474"/>
    <w:rsid w:val="00170B71"/>
    <w:rsid w:val="001D2C85"/>
    <w:rsid w:val="001D696A"/>
    <w:rsid w:val="0021521F"/>
    <w:rsid w:val="002618F5"/>
    <w:rsid w:val="002C78DB"/>
    <w:rsid w:val="002E41A5"/>
    <w:rsid w:val="002E696A"/>
    <w:rsid w:val="00321B2A"/>
    <w:rsid w:val="00380866"/>
    <w:rsid w:val="004249BF"/>
    <w:rsid w:val="00431076"/>
    <w:rsid w:val="00445A3E"/>
    <w:rsid w:val="004521D2"/>
    <w:rsid w:val="004B764A"/>
    <w:rsid w:val="004E48CA"/>
    <w:rsid w:val="00505A75"/>
    <w:rsid w:val="005A400A"/>
    <w:rsid w:val="005D48A2"/>
    <w:rsid w:val="005E1CDB"/>
    <w:rsid w:val="00607D6E"/>
    <w:rsid w:val="006307D4"/>
    <w:rsid w:val="006461DB"/>
    <w:rsid w:val="00654284"/>
    <w:rsid w:val="00683D60"/>
    <w:rsid w:val="006A5510"/>
    <w:rsid w:val="006B78ED"/>
    <w:rsid w:val="006C6CA9"/>
    <w:rsid w:val="00745F81"/>
    <w:rsid w:val="0075288B"/>
    <w:rsid w:val="0077456A"/>
    <w:rsid w:val="00817583"/>
    <w:rsid w:val="00864893"/>
    <w:rsid w:val="00865341"/>
    <w:rsid w:val="008777A9"/>
    <w:rsid w:val="008A2232"/>
    <w:rsid w:val="008E4CA1"/>
    <w:rsid w:val="008F2A55"/>
    <w:rsid w:val="009C11E8"/>
    <w:rsid w:val="009E490B"/>
    <w:rsid w:val="009E4F72"/>
    <w:rsid w:val="00A3086D"/>
    <w:rsid w:val="00A445ED"/>
    <w:rsid w:val="00BB13EE"/>
    <w:rsid w:val="00BF2207"/>
    <w:rsid w:val="00BF3F55"/>
    <w:rsid w:val="00BF63D7"/>
    <w:rsid w:val="00C0332E"/>
    <w:rsid w:val="00C21279"/>
    <w:rsid w:val="00C226B5"/>
    <w:rsid w:val="00C24A29"/>
    <w:rsid w:val="00C304E6"/>
    <w:rsid w:val="00C67DBA"/>
    <w:rsid w:val="00CE3FF0"/>
    <w:rsid w:val="00D10E34"/>
    <w:rsid w:val="00D61BBB"/>
    <w:rsid w:val="00D944E9"/>
    <w:rsid w:val="00DD1D17"/>
    <w:rsid w:val="00EA4D9E"/>
    <w:rsid w:val="00F359AD"/>
    <w:rsid w:val="00F81847"/>
    <w:rsid w:val="00F90A9D"/>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59503446">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94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16</cp:revision>
  <dcterms:created xsi:type="dcterms:W3CDTF">2021-02-21T17:23:00Z</dcterms:created>
  <dcterms:modified xsi:type="dcterms:W3CDTF">2022-02-10T12:10:00Z</dcterms:modified>
</cp:coreProperties>
</file>